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00" w:rsidRDefault="00664C00" w:rsidP="00664C00">
      <w:pPr>
        <w:jc w:val="center"/>
        <w:rPr>
          <w:rFonts w:ascii="Batang" w:eastAsia="Batang" w:hAnsi="Batang"/>
          <w:b/>
          <w:u w:val="single"/>
        </w:rPr>
      </w:pPr>
    </w:p>
    <w:p w:rsidR="00B83502" w:rsidRPr="00664C00" w:rsidRDefault="00117668" w:rsidP="00664C00">
      <w:pPr>
        <w:jc w:val="center"/>
        <w:rPr>
          <w:rFonts w:ascii="Batang" w:eastAsia="Batang" w:hAnsi="Batang"/>
          <w:b/>
          <w:u w:val="single"/>
        </w:rPr>
      </w:pPr>
      <w:r w:rsidRPr="00664C00">
        <w:rPr>
          <w:rFonts w:ascii="Batang" w:eastAsia="Batang" w:hAnsi="Batang"/>
          <w:b/>
          <w:u w:val="single"/>
        </w:rPr>
        <w:t>POSITIVE REFERRALS</w:t>
      </w:r>
    </w:p>
    <w:p w:rsidR="00117668" w:rsidRDefault="00117668">
      <w:pPr>
        <w:rPr>
          <w:rFonts w:ascii="Batang" w:eastAsia="Batang" w:hAnsi="Batang"/>
        </w:rPr>
      </w:pPr>
    </w:p>
    <w:p w:rsidR="00664C00" w:rsidRPr="00D01BB1" w:rsidRDefault="00B83502" w:rsidP="00664C00">
      <w:pPr>
        <w:pStyle w:val="ListParagraph"/>
        <w:numPr>
          <w:ilvl w:val="0"/>
          <w:numId w:val="2"/>
        </w:numPr>
        <w:rPr>
          <w:rFonts w:ascii="Batang" w:eastAsia="Batang" w:hAnsi="Batang"/>
          <w:sz w:val="24"/>
          <w:szCs w:val="24"/>
        </w:rPr>
      </w:pPr>
      <w:r w:rsidRPr="00D01BB1">
        <w:rPr>
          <w:rFonts w:ascii="Batang" w:eastAsia="Batang" w:hAnsi="Batang"/>
          <w:sz w:val="24"/>
          <w:szCs w:val="24"/>
        </w:rPr>
        <w:t>The Academy/School making the Positive Referral must have discussed this case with Lynsey Swan – Caseworker at Heybridge Alternative Provision School, prior to the referral.</w:t>
      </w:r>
    </w:p>
    <w:p w:rsidR="00664C00" w:rsidRPr="00D01BB1" w:rsidRDefault="00664C00" w:rsidP="00664C00">
      <w:pPr>
        <w:rPr>
          <w:rFonts w:ascii="Batang" w:eastAsia="Batang" w:hAnsi="Batang"/>
          <w:sz w:val="24"/>
          <w:szCs w:val="24"/>
        </w:rPr>
      </w:pPr>
    </w:p>
    <w:p w:rsidR="00117668" w:rsidRPr="00D01BB1" w:rsidRDefault="00B97F58" w:rsidP="00117668">
      <w:pPr>
        <w:pStyle w:val="ListParagraph"/>
        <w:numPr>
          <w:ilvl w:val="0"/>
          <w:numId w:val="2"/>
        </w:numPr>
        <w:rPr>
          <w:rFonts w:ascii="Batang" w:eastAsia="Batang" w:hAnsi="Batang"/>
          <w:sz w:val="24"/>
          <w:szCs w:val="24"/>
        </w:rPr>
      </w:pPr>
      <w:r w:rsidRPr="00D01BB1">
        <w:rPr>
          <w:rFonts w:ascii="Batang" w:eastAsia="Batang" w:hAnsi="Batang"/>
          <w:sz w:val="24"/>
          <w:szCs w:val="24"/>
        </w:rPr>
        <w:t>All Positive Referrals must have been discussed with Parent/Carer and the parental consent form signed by the Parent/Carer before being submitted. (Failure to do so will mean that the referral will not be included in the panel meeting.)</w:t>
      </w:r>
    </w:p>
    <w:p w:rsidR="00B83502" w:rsidRPr="00D01BB1" w:rsidRDefault="00B83502" w:rsidP="00B83502">
      <w:pPr>
        <w:pStyle w:val="ListParagraph"/>
        <w:rPr>
          <w:rFonts w:ascii="Batang" w:eastAsia="Batang" w:hAnsi="Batang"/>
          <w:sz w:val="24"/>
          <w:szCs w:val="24"/>
        </w:rPr>
      </w:pPr>
    </w:p>
    <w:p w:rsidR="00B83502" w:rsidRPr="00D01BB1" w:rsidRDefault="00B97F58" w:rsidP="00B83502">
      <w:pPr>
        <w:pStyle w:val="ListParagraph"/>
        <w:numPr>
          <w:ilvl w:val="0"/>
          <w:numId w:val="2"/>
        </w:numPr>
        <w:rPr>
          <w:rFonts w:ascii="Batang" w:eastAsia="Batang" w:hAnsi="Batang"/>
          <w:sz w:val="24"/>
          <w:szCs w:val="24"/>
        </w:rPr>
      </w:pPr>
      <w:r w:rsidRPr="00D01BB1">
        <w:rPr>
          <w:rFonts w:ascii="Batang" w:eastAsia="Batang" w:hAnsi="Batang"/>
          <w:sz w:val="24"/>
          <w:szCs w:val="24"/>
        </w:rPr>
        <w:t>The Information Passport must be completed in full.</w:t>
      </w:r>
    </w:p>
    <w:p w:rsidR="00B83502" w:rsidRPr="00D01BB1" w:rsidRDefault="00B83502" w:rsidP="00B83502">
      <w:pPr>
        <w:pStyle w:val="ListParagraph"/>
        <w:rPr>
          <w:rFonts w:ascii="Batang" w:eastAsia="Batang" w:hAnsi="Batang"/>
          <w:sz w:val="24"/>
          <w:szCs w:val="24"/>
        </w:rPr>
      </w:pPr>
    </w:p>
    <w:p w:rsidR="00B83502" w:rsidRPr="00D01BB1" w:rsidRDefault="00B83502" w:rsidP="00B83502">
      <w:pPr>
        <w:pStyle w:val="ListParagraph"/>
        <w:ind w:left="1080"/>
        <w:rPr>
          <w:rFonts w:ascii="Batang" w:eastAsia="Batang" w:hAnsi="Batang"/>
          <w:sz w:val="24"/>
          <w:szCs w:val="24"/>
        </w:rPr>
      </w:pPr>
    </w:p>
    <w:p w:rsidR="00117668" w:rsidRPr="00D01BB1" w:rsidRDefault="00B97F58" w:rsidP="00117668">
      <w:pPr>
        <w:pStyle w:val="ListParagraph"/>
        <w:numPr>
          <w:ilvl w:val="0"/>
          <w:numId w:val="2"/>
        </w:numPr>
        <w:rPr>
          <w:rFonts w:ascii="Batang" w:eastAsia="Batang" w:hAnsi="Batang"/>
          <w:sz w:val="24"/>
          <w:szCs w:val="24"/>
        </w:rPr>
      </w:pPr>
      <w:r w:rsidRPr="00D01BB1">
        <w:rPr>
          <w:rFonts w:ascii="Batang" w:eastAsia="Batang" w:hAnsi="Batang"/>
          <w:sz w:val="24"/>
          <w:szCs w:val="24"/>
        </w:rPr>
        <w:t>All documentation to be received by Midday on Wednesday prior to Monday’s panel – No referrals received after this deadline will be accepted for the panel.</w:t>
      </w:r>
      <w:bookmarkStart w:id="0" w:name="_GoBack"/>
      <w:bookmarkEnd w:id="0"/>
    </w:p>
    <w:p w:rsidR="00301130" w:rsidRPr="00D01BB1" w:rsidRDefault="00301130" w:rsidP="00301130">
      <w:pPr>
        <w:pStyle w:val="ListParagraph"/>
        <w:rPr>
          <w:rFonts w:ascii="Batang" w:eastAsia="Batang" w:hAnsi="Batang"/>
          <w:sz w:val="24"/>
          <w:szCs w:val="24"/>
        </w:rPr>
      </w:pPr>
    </w:p>
    <w:p w:rsidR="00301130" w:rsidRPr="00D01BB1" w:rsidRDefault="00B97F58" w:rsidP="00117668">
      <w:pPr>
        <w:pStyle w:val="ListParagraph"/>
        <w:numPr>
          <w:ilvl w:val="0"/>
          <w:numId w:val="2"/>
        </w:numPr>
        <w:rPr>
          <w:rFonts w:ascii="Batang" w:eastAsia="Batang" w:hAnsi="Batang"/>
          <w:sz w:val="24"/>
          <w:szCs w:val="24"/>
        </w:rPr>
      </w:pPr>
      <w:r w:rsidRPr="00D01BB1">
        <w:rPr>
          <w:rFonts w:ascii="Batang" w:eastAsia="Batang" w:hAnsi="Batang"/>
          <w:sz w:val="24"/>
          <w:szCs w:val="24"/>
        </w:rPr>
        <w:t>Attendance figures, Key Stage Information and Stu</w:t>
      </w:r>
      <w:r w:rsidR="00D01BB1" w:rsidRPr="00D01BB1">
        <w:rPr>
          <w:rFonts w:ascii="Batang" w:eastAsia="Batang" w:hAnsi="Batang"/>
          <w:sz w:val="24"/>
          <w:szCs w:val="24"/>
        </w:rPr>
        <w:t>dent Examination Entry Record (i</w:t>
      </w:r>
      <w:r w:rsidRPr="00D01BB1">
        <w:rPr>
          <w:rFonts w:ascii="Batang" w:eastAsia="Batang" w:hAnsi="Batang"/>
          <w:sz w:val="24"/>
          <w:szCs w:val="24"/>
        </w:rPr>
        <w:t xml:space="preserve">f applicable) </w:t>
      </w:r>
      <w:r w:rsidR="00D01BB1" w:rsidRPr="00D01BB1">
        <w:rPr>
          <w:rFonts w:ascii="Batang" w:eastAsia="Batang" w:hAnsi="Batang"/>
          <w:sz w:val="24"/>
          <w:szCs w:val="24"/>
        </w:rPr>
        <w:t>should all be completed and included with the information passport. (Without completed supporting documentation the referral will not be allocated a time slot on panel.)</w:t>
      </w:r>
    </w:p>
    <w:p w:rsidR="00BC350B" w:rsidRPr="00D01BB1" w:rsidRDefault="00BC350B" w:rsidP="00BC350B">
      <w:pPr>
        <w:pStyle w:val="ListParagraph"/>
        <w:rPr>
          <w:rFonts w:ascii="Batang" w:eastAsia="Batang" w:hAnsi="Batang"/>
          <w:sz w:val="24"/>
          <w:szCs w:val="24"/>
        </w:rPr>
      </w:pPr>
    </w:p>
    <w:p w:rsidR="00BC350B" w:rsidRPr="00D01BB1" w:rsidRDefault="00D01BB1" w:rsidP="00117668">
      <w:pPr>
        <w:pStyle w:val="ListParagraph"/>
        <w:numPr>
          <w:ilvl w:val="0"/>
          <w:numId w:val="2"/>
        </w:numPr>
        <w:rPr>
          <w:rFonts w:ascii="Batang" w:eastAsia="Batang" w:hAnsi="Batang"/>
          <w:sz w:val="24"/>
          <w:szCs w:val="24"/>
        </w:rPr>
      </w:pPr>
      <w:r w:rsidRPr="00D01BB1">
        <w:rPr>
          <w:rFonts w:ascii="Batang" w:eastAsia="Batang" w:hAnsi="Batang"/>
          <w:sz w:val="24"/>
          <w:szCs w:val="24"/>
        </w:rPr>
        <w:t>No more than 7 cases will be heard on any one panel. If more than 7 cases are received before the closing time, time slots will be allocated for a completed referral and supporting documentation and arrival date allocation. Panel will then be closed and all remaining cases deferred to the next available panel.</w:t>
      </w:r>
    </w:p>
    <w:p w:rsidR="00BA16F0" w:rsidRPr="00D01BB1" w:rsidRDefault="00BA16F0" w:rsidP="00BA16F0">
      <w:pPr>
        <w:pStyle w:val="ListParagraph"/>
        <w:rPr>
          <w:rFonts w:ascii="Batang" w:eastAsia="Batang" w:hAnsi="Batang"/>
          <w:sz w:val="24"/>
          <w:szCs w:val="24"/>
        </w:rPr>
      </w:pPr>
    </w:p>
    <w:p w:rsidR="00BA16F0" w:rsidRPr="00D01BB1" w:rsidRDefault="00BA16F0" w:rsidP="00BA16F0">
      <w:pPr>
        <w:pStyle w:val="ListParagraph"/>
        <w:rPr>
          <w:rFonts w:ascii="Batang" w:eastAsia="Batang" w:hAnsi="Batang"/>
          <w:sz w:val="24"/>
          <w:szCs w:val="24"/>
        </w:rPr>
      </w:pPr>
    </w:p>
    <w:p w:rsidR="00117668" w:rsidRPr="00D01BB1" w:rsidRDefault="00D01BB1" w:rsidP="00B83502">
      <w:pPr>
        <w:pStyle w:val="ListParagraph"/>
        <w:numPr>
          <w:ilvl w:val="0"/>
          <w:numId w:val="2"/>
        </w:numPr>
        <w:rPr>
          <w:rFonts w:ascii="Batang" w:eastAsia="Batang" w:hAnsi="Batang"/>
          <w:sz w:val="24"/>
          <w:szCs w:val="24"/>
        </w:rPr>
      </w:pPr>
      <w:r w:rsidRPr="00D01BB1">
        <w:rPr>
          <w:rFonts w:ascii="Batang" w:eastAsia="Batang" w:hAnsi="Batang"/>
          <w:sz w:val="24"/>
          <w:szCs w:val="24"/>
        </w:rPr>
        <w:t>Half hour time slots will be allocated for each student to be discussed. No other students will be discussed in these time slots.</w:t>
      </w:r>
    </w:p>
    <w:p w:rsidR="00117668" w:rsidRPr="00D01BB1" w:rsidRDefault="00117668" w:rsidP="00117668">
      <w:pPr>
        <w:rPr>
          <w:rFonts w:ascii="Batang" w:eastAsia="Batang" w:hAnsi="Batang"/>
          <w:sz w:val="24"/>
          <w:szCs w:val="24"/>
        </w:rPr>
      </w:pPr>
    </w:p>
    <w:sectPr w:rsidR="00117668" w:rsidRPr="00D01BB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F58" w:rsidRDefault="00B97F58" w:rsidP="00664C00">
      <w:pPr>
        <w:spacing w:after="0" w:line="240" w:lineRule="auto"/>
      </w:pPr>
      <w:r>
        <w:separator/>
      </w:r>
    </w:p>
  </w:endnote>
  <w:endnote w:type="continuationSeparator" w:id="0">
    <w:p w:rsidR="00B97F58" w:rsidRDefault="00B97F58" w:rsidP="0066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F58" w:rsidRDefault="00B97F58" w:rsidP="00664C00">
      <w:pPr>
        <w:spacing w:after="0" w:line="240" w:lineRule="auto"/>
      </w:pPr>
      <w:r>
        <w:separator/>
      </w:r>
    </w:p>
  </w:footnote>
  <w:footnote w:type="continuationSeparator" w:id="0">
    <w:p w:rsidR="00B97F58" w:rsidRDefault="00B97F58" w:rsidP="00664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F58" w:rsidRDefault="00B97F58">
    <w:pPr>
      <w:pStyle w:val="Header"/>
    </w:pPr>
    <w:r>
      <w:t xml:space="preserve">                                                                       </w:t>
    </w:r>
    <w:r>
      <w:rPr>
        <w:noProof/>
        <w:lang w:eastAsia="en-GB"/>
      </w:rPr>
      <w:drawing>
        <wp:inline distT="0" distB="0" distL="0" distR="0" wp14:anchorId="3D912B88">
          <wp:extent cx="1562100" cy="11334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21867"/>
    <w:multiLevelType w:val="hybridMultilevel"/>
    <w:tmpl w:val="A86E0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C5AE9"/>
    <w:multiLevelType w:val="hybridMultilevel"/>
    <w:tmpl w:val="896219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68"/>
    <w:rsid w:val="00117668"/>
    <w:rsid w:val="00301130"/>
    <w:rsid w:val="00664C00"/>
    <w:rsid w:val="00794E22"/>
    <w:rsid w:val="00802DDB"/>
    <w:rsid w:val="00B83502"/>
    <w:rsid w:val="00B97F58"/>
    <w:rsid w:val="00BA16F0"/>
    <w:rsid w:val="00BC350B"/>
    <w:rsid w:val="00D0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5D6FC96-7A54-47B0-AF7E-DCB0EC75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6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C00"/>
  </w:style>
  <w:style w:type="paragraph" w:styleId="Footer">
    <w:name w:val="footer"/>
    <w:basedOn w:val="Normal"/>
    <w:link w:val="FooterChar"/>
    <w:uiPriority w:val="99"/>
    <w:unhideWhenUsed/>
    <w:rsid w:val="00664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C00"/>
  </w:style>
  <w:style w:type="paragraph" w:styleId="BalloonText">
    <w:name w:val="Balloon Text"/>
    <w:basedOn w:val="Normal"/>
    <w:link w:val="BalloonTextChar"/>
    <w:uiPriority w:val="99"/>
    <w:semiHidden/>
    <w:unhideWhenUsed/>
    <w:rsid w:val="00B83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67C6A4C1</Template>
  <TotalTime>98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Heybridge APS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Swan</dc:creator>
  <cp:keywords/>
  <dc:description/>
  <cp:lastModifiedBy>Lynsey Swan</cp:lastModifiedBy>
  <cp:revision>3</cp:revision>
  <cp:lastPrinted>2014-11-17T12:38:00Z</cp:lastPrinted>
  <dcterms:created xsi:type="dcterms:W3CDTF">2014-11-17T10:45:00Z</dcterms:created>
  <dcterms:modified xsi:type="dcterms:W3CDTF">2014-11-17T13:00:00Z</dcterms:modified>
</cp:coreProperties>
</file>